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DAC77F" w14:textId="77777777" w:rsidR="00791190" w:rsidRDefault="0079119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45F7A" w14:textId="77777777" w:rsidR="00791190" w:rsidRDefault="00000000">
      <w:pPr>
        <w:spacing w:after="160" w:line="256" w:lineRule="auto"/>
        <w:jc w:val="both"/>
        <w:rPr>
          <w:color w:val="212121"/>
          <w:highlight w:val="white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F883D1A" wp14:editId="489CC033">
            <wp:simplePos x="0" y="0"/>
            <wp:positionH relativeFrom="column">
              <wp:posOffset>114300</wp:posOffset>
            </wp:positionH>
            <wp:positionV relativeFrom="paragraph">
              <wp:posOffset>304800</wp:posOffset>
            </wp:positionV>
            <wp:extent cx="1276350" cy="1236712"/>
            <wp:effectExtent l="0" t="0" r="0" b="0"/>
            <wp:wrapSquare wrapText="bothSides" distT="114300" distB="11430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1552" b="155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36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FAD68" w14:textId="77777777" w:rsidR="00791190" w:rsidRDefault="00000000">
      <w:pPr>
        <w:spacing w:after="160" w:line="256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FaceBase</w:t>
      </w:r>
      <w:proofErr w:type="spellEnd"/>
      <w:r>
        <w:rPr>
          <w:b/>
          <w:sz w:val="32"/>
          <w:szCs w:val="32"/>
        </w:rPr>
        <w:t>: Data Resources for Craniofacial and Dental Development, Molecular Genetics, and Genomics</w:t>
      </w:r>
    </w:p>
    <w:p w14:paraId="625C1957" w14:textId="77777777" w:rsidR="00791190" w:rsidRDefault="00000000">
      <w:pPr>
        <w:spacing w:after="160" w:line="256" w:lineRule="auto"/>
        <w:jc w:val="both"/>
        <w:rPr>
          <w:color w:val="212121"/>
          <w:sz w:val="24"/>
          <w:szCs w:val="24"/>
          <w:highlight w:val="white"/>
        </w:rPr>
      </w:pPr>
      <w:r>
        <w:rPr>
          <w:color w:val="212121"/>
          <w:sz w:val="24"/>
          <w:szCs w:val="24"/>
          <w:highlight w:val="white"/>
        </w:rPr>
        <w:t>A. Bugacov</w:t>
      </w:r>
      <w:r>
        <w:rPr>
          <w:color w:val="212121"/>
          <w:sz w:val="24"/>
          <w:szCs w:val="24"/>
          <w:highlight w:val="white"/>
          <w:vertAlign w:val="superscript"/>
        </w:rPr>
        <w:t>1</w:t>
      </w:r>
      <w:r>
        <w:rPr>
          <w:color w:val="212121"/>
          <w:sz w:val="24"/>
          <w:szCs w:val="24"/>
          <w:highlight w:val="white"/>
        </w:rPr>
        <w:t>, J. Feng</w:t>
      </w:r>
      <w:r>
        <w:rPr>
          <w:color w:val="212121"/>
          <w:sz w:val="24"/>
          <w:szCs w:val="24"/>
          <w:highlight w:val="white"/>
          <w:vertAlign w:val="superscript"/>
        </w:rPr>
        <w:t>2</w:t>
      </w:r>
      <w:r>
        <w:rPr>
          <w:color w:val="212121"/>
          <w:sz w:val="24"/>
          <w:szCs w:val="24"/>
          <w:highlight w:val="white"/>
        </w:rPr>
        <w:t>, T. Guo</w:t>
      </w:r>
      <w:r>
        <w:rPr>
          <w:color w:val="212121"/>
          <w:sz w:val="24"/>
          <w:szCs w:val="24"/>
          <w:highlight w:val="white"/>
          <w:vertAlign w:val="superscript"/>
        </w:rPr>
        <w:t>2</w:t>
      </w:r>
      <w:r>
        <w:rPr>
          <w:color w:val="212121"/>
          <w:sz w:val="24"/>
          <w:szCs w:val="24"/>
          <w:highlight w:val="white"/>
        </w:rPr>
        <w:t>, T-V. Ho</w:t>
      </w:r>
      <w:r>
        <w:rPr>
          <w:color w:val="212121"/>
          <w:sz w:val="24"/>
          <w:szCs w:val="24"/>
          <w:highlight w:val="white"/>
          <w:vertAlign w:val="superscript"/>
        </w:rPr>
        <w:t>2</w:t>
      </w:r>
      <w:r>
        <w:rPr>
          <w:color w:val="212121"/>
          <w:sz w:val="24"/>
          <w:szCs w:val="24"/>
          <w:highlight w:val="white"/>
        </w:rPr>
        <w:t>, V. Nguyen</w:t>
      </w:r>
      <w:r>
        <w:rPr>
          <w:color w:val="212121"/>
          <w:sz w:val="24"/>
          <w:szCs w:val="24"/>
          <w:highlight w:val="white"/>
          <w:vertAlign w:val="superscript"/>
        </w:rPr>
        <w:t>2</w:t>
      </w:r>
      <w:r>
        <w:rPr>
          <w:color w:val="212121"/>
          <w:sz w:val="24"/>
          <w:szCs w:val="24"/>
          <w:highlight w:val="white"/>
        </w:rPr>
        <w:t>, R. Schuler</w:t>
      </w:r>
      <w:r>
        <w:rPr>
          <w:color w:val="212121"/>
          <w:sz w:val="24"/>
          <w:szCs w:val="24"/>
          <w:highlight w:val="white"/>
          <w:vertAlign w:val="superscript"/>
        </w:rPr>
        <w:t>1</w:t>
      </w:r>
      <w:r>
        <w:rPr>
          <w:color w:val="212121"/>
          <w:sz w:val="24"/>
          <w:szCs w:val="24"/>
          <w:highlight w:val="white"/>
        </w:rPr>
        <w:t>, C. Williams</w:t>
      </w:r>
      <w:r>
        <w:rPr>
          <w:color w:val="212121"/>
          <w:sz w:val="24"/>
          <w:szCs w:val="24"/>
          <w:highlight w:val="white"/>
          <w:vertAlign w:val="superscript"/>
        </w:rPr>
        <w:t>1</w:t>
      </w:r>
      <w:r>
        <w:rPr>
          <w:color w:val="212121"/>
          <w:sz w:val="24"/>
          <w:szCs w:val="24"/>
          <w:highlight w:val="white"/>
        </w:rPr>
        <w:t>, P. Sedghizadeh</w:t>
      </w:r>
      <w:r>
        <w:rPr>
          <w:color w:val="212121"/>
          <w:sz w:val="24"/>
          <w:szCs w:val="24"/>
          <w:highlight w:val="white"/>
          <w:vertAlign w:val="superscript"/>
        </w:rPr>
        <w:t>2</w:t>
      </w:r>
      <w:r>
        <w:rPr>
          <w:color w:val="212121"/>
          <w:sz w:val="24"/>
          <w:szCs w:val="24"/>
          <w:highlight w:val="white"/>
        </w:rPr>
        <w:t>, C. Kesselman</w:t>
      </w:r>
      <w:r>
        <w:rPr>
          <w:color w:val="212121"/>
          <w:sz w:val="24"/>
          <w:szCs w:val="24"/>
          <w:highlight w:val="white"/>
          <w:vertAlign w:val="superscript"/>
        </w:rPr>
        <w:t>1</w:t>
      </w:r>
      <w:r>
        <w:rPr>
          <w:color w:val="212121"/>
          <w:sz w:val="24"/>
          <w:szCs w:val="24"/>
          <w:highlight w:val="white"/>
        </w:rPr>
        <w:t>, Y. Chai</w:t>
      </w:r>
      <w:r>
        <w:rPr>
          <w:color w:val="212121"/>
          <w:sz w:val="24"/>
          <w:szCs w:val="24"/>
          <w:highlight w:val="white"/>
          <w:vertAlign w:val="superscript"/>
        </w:rPr>
        <w:t>2</w:t>
      </w:r>
      <w:r>
        <w:rPr>
          <w:color w:val="212121"/>
          <w:sz w:val="24"/>
          <w:szCs w:val="24"/>
          <w:highlight w:val="white"/>
        </w:rPr>
        <w:t xml:space="preserve"> </w:t>
      </w:r>
    </w:p>
    <w:p w14:paraId="0244FF0B" w14:textId="77777777" w:rsidR="00791190" w:rsidRDefault="00000000">
      <w:pPr>
        <w:spacing w:after="160" w:line="256" w:lineRule="auto"/>
        <w:jc w:val="both"/>
        <w:rPr>
          <w:i/>
          <w:color w:val="212121"/>
          <w:sz w:val="24"/>
          <w:szCs w:val="24"/>
          <w:highlight w:val="white"/>
        </w:rPr>
      </w:pPr>
      <w:r>
        <w:rPr>
          <w:i/>
          <w:color w:val="212121"/>
          <w:sz w:val="24"/>
          <w:szCs w:val="24"/>
          <w:highlight w:val="white"/>
          <w:vertAlign w:val="superscript"/>
        </w:rPr>
        <w:t>1</w:t>
      </w:r>
      <w:r>
        <w:rPr>
          <w:i/>
          <w:color w:val="212121"/>
          <w:sz w:val="24"/>
          <w:szCs w:val="24"/>
          <w:highlight w:val="white"/>
        </w:rPr>
        <w:t xml:space="preserve">USC Information Sciences Institute, Marina del Rey, CA, </w:t>
      </w:r>
    </w:p>
    <w:p w14:paraId="2BF8F3B5" w14:textId="77777777" w:rsidR="00791190" w:rsidRDefault="00000000">
      <w:pPr>
        <w:spacing w:after="160" w:line="256" w:lineRule="auto"/>
        <w:jc w:val="both"/>
        <w:rPr>
          <w:color w:val="212121"/>
          <w:highlight w:val="white"/>
        </w:rPr>
      </w:pPr>
      <w:r>
        <w:rPr>
          <w:i/>
          <w:color w:val="212121"/>
          <w:sz w:val="24"/>
          <w:szCs w:val="24"/>
          <w:highlight w:val="white"/>
          <w:vertAlign w:val="superscript"/>
        </w:rPr>
        <w:t>2</w:t>
      </w:r>
      <w:r>
        <w:rPr>
          <w:i/>
          <w:color w:val="212121"/>
          <w:sz w:val="24"/>
          <w:szCs w:val="24"/>
          <w:highlight w:val="white"/>
        </w:rPr>
        <w:t>Herman Ostrow School of Dentistry of USC, Los Angeles, CA</w:t>
      </w:r>
    </w:p>
    <w:p w14:paraId="08AA2EC4" w14:textId="77777777" w:rsidR="00791190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FaceBase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(facebase.org), established in 2009, provides a freely available repository of data for the scientific community on dental, oral and craniofacial (DOC) development and diseases as well as in other anatomically or biologically relevant regions.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FaceBase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is a trusted source of research and educational resources across the translational spectrum on humans and model organisms. </w:t>
      </w:r>
    </w:p>
    <w:p w14:paraId="03D0CEAD" w14:textId="77777777" w:rsidR="00791190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FaceBase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is a highly scalable, Cloud-based (STRIDES) data sharing and analysis hub. Cloud storage provides extremely robust, cost-effective, virtually unlimited capacity and improves accessibility while ensuring long-term sustainability.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FaceBase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embraces TRUST (Transparency, Responsibility, User-focus, Sustainability, Technology) principles throughout to ensure the integrity of FAIR (Findable, Accessible, Interoperable, Reusable) data resources.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FaceBase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supports the full translational spectrum of research through enhanced data curation procedures for clinical and public health data while strengthening basic research data handling.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FaceBase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provides resources to help the community meet the new NIH Data Management &amp; Sharing (DMS) requirements. </w:t>
      </w:r>
    </w:p>
    <w:p w14:paraId="1ABFA0A0" w14:textId="05022462" w:rsidR="00791190" w:rsidRPr="00E42C50" w:rsidRDefault="00000000" w:rsidP="00E42C50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FaceBase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is supported by the National Institute of Dental and Craniofacial Research (NIDCR), National Institute on Deafness and Other Communication Disorders (NIDCD) and Office of Data Science Strategy (ODSS).</w:t>
      </w:r>
    </w:p>
    <w:sectPr w:rsidR="00791190" w:rsidRPr="00E42C5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656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2E7FE" w14:textId="77777777" w:rsidR="00683C9C" w:rsidRDefault="00683C9C">
      <w:pPr>
        <w:spacing w:line="240" w:lineRule="auto"/>
      </w:pPr>
      <w:r>
        <w:separator/>
      </w:r>
    </w:p>
  </w:endnote>
  <w:endnote w:type="continuationSeparator" w:id="0">
    <w:p w14:paraId="352E598C" w14:textId="77777777" w:rsidR="00683C9C" w:rsidRDefault="00683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8B2E" w14:textId="58BCCC55" w:rsidR="0079119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464C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D4215" w14:textId="77777777" w:rsidR="00683C9C" w:rsidRDefault="00683C9C">
      <w:pPr>
        <w:spacing w:line="240" w:lineRule="auto"/>
      </w:pPr>
      <w:r>
        <w:separator/>
      </w:r>
    </w:p>
  </w:footnote>
  <w:footnote w:type="continuationSeparator" w:id="0">
    <w:p w14:paraId="124F9120" w14:textId="77777777" w:rsidR="00683C9C" w:rsidRDefault="00683C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3649" w14:textId="77777777" w:rsidR="00F464CC" w:rsidRDefault="00F46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DD4B" w14:textId="77777777" w:rsidR="00791190" w:rsidRDefault="007911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BA9A" w14:textId="77777777" w:rsidR="00791190" w:rsidRDefault="00000000">
    <w:pPr>
      <w:jc w:val="center"/>
      <w:rPr>
        <w:i/>
        <w:sz w:val="28"/>
        <w:szCs w:val="28"/>
      </w:rPr>
    </w:pPr>
    <w:r>
      <w:rPr>
        <w:noProof/>
      </w:rPr>
      <w:drawing>
        <wp:inline distT="114300" distB="114300" distL="114300" distR="114300" wp14:anchorId="26A6EB9A" wp14:editId="6CA93986">
          <wp:extent cx="2147888" cy="588365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7888" cy="5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C1913F" w14:textId="77777777" w:rsidR="00791190" w:rsidRDefault="00791190">
    <w:pPr>
      <w:rPr>
        <w:i/>
        <w:sz w:val="28"/>
        <w:szCs w:val="28"/>
      </w:rPr>
    </w:pPr>
  </w:p>
  <w:p w14:paraId="10EDD590" w14:textId="4044B786" w:rsidR="00791190" w:rsidRDefault="0039245C">
    <w:pPr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Poster Session - </w:t>
    </w:r>
    <w:r w:rsidR="00000000">
      <w:rPr>
        <w:i/>
        <w:sz w:val="28"/>
        <w:szCs w:val="28"/>
      </w:rPr>
      <w:t xml:space="preserve">2025 </w:t>
    </w:r>
    <w:proofErr w:type="spellStart"/>
    <w:r w:rsidR="00000000">
      <w:rPr>
        <w:i/>
        <w:sz w:val="28"/>
        <w:szCs w:val="28"/>
      </w:rPr>
      <w:t>FaceBase</w:t>
    </w:r>
    <w:proofErr w:type="spellEnd"/>
    <w:r w:rsidR="00000000">
      <w:rPr>
        <w:i/>
        <w:sz w:val="28"/>
        <w:szCs w:val="28"/>
      </w:rPr>
      <w:t xml:space="preserve"> Community Forum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90"/>
    <w:rsid w:val="0039245C"/>
    <w:rsid w:val="00683C9C"/>
    <w:rsid w:val="00791190"/>
    <w:rsid w:val="00E42C50"/>
    <w:rsid w:val="00EC6A7B"/>
    <w:rsid w:val="00F4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F11DC"/>
  <w15:docId w15:val="{F9761E62-8465-D846-94DF-995B0B9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64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4CC"/>
  </w:style>
  <w:style w:type="paragraph" w:styleId="Footer">
    <w:name w:val="footer"/>
    <w:basedOn w:val="Normal"/>
    <w:link w:val="FooterChar"/>
    <w:uiPriority w:val="99"/>
    <w:unhideWhenUsed/>
    <w:rsid w:val="00F464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Williams</cp:lastModifiedBy>
  <cp:revision>4</cp:revision>
  <dcterms:created xsi:type="dcterms:W3CDTF">2025-06-30T18:00:00Z</dcterms:created>
  <dcterms:modified xsi:type="dcterms:W3CDTF">2025-06-30T19:42:00Z</dcterms:modified>
</cp:coreProperties>
</file>