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616F8A" w14:textId="77777777" w:rsidR="00A22520" w:rsidRDefault="00A22520">
      <w:pPr>
        <w:spacing w:after="160" w:line="256" w:lineRule="auto"/>
        <w:jc w:val="both"/>
        <w:rPr>
          <w:color w:val="212121"/>
          <w:highlight w:val="white"/>
        </w:rPr>
      </w:pPr>
    </w:p>
    <w:p w14:paraId="285F30D7" w14:textId="42CE6AA2" w:rsidR="00A22520" w:rsidRPr="00FC3D86" w:rsidRDefault="00000000">
      <w:pPr>
        <w:spacing w:after="160" w:line="256" w:lineRule="auto"/>
        <w:jc w:val="both"/>
        <w:rPr>
          <w:color w:val="212121"/>
          <w:highlight w:val="white"/>
        </w:rPr>
      </w:pPr>
      <w:r>
        <w:rPr>
          <w:noProof/>
        </w:rPr>
        <w:drawing>
          <wp:anchor distT="114300" distB="114300" distL="114300" distR="114300" simplePos="0" relativeHeight="251661312" behindDoc="0" locked="0" layoutInCell="1" hidden="0" allowOverlap="1" wp14:anchorId="5AB0F9F3" wp14:editId="5271B691">
            <wp:simplePos x="0" y="0"/>
            <wp:positionH relativeFrom="column">
              <wp:posOffset>19051</wp:posOffset>
            </wp:positionH>
            <wp:positionV relativeFrom="paragraph">
              <wp:posOffset>308162</wp:posOffset>
            </wp:positionV>
            <wp:extent cx="1366838" cy="2050256"/>
            <wp:effectExtent l="0" t="0" r="0" b="0"/>
            <wp:wrapSquare wrapText="bothSides" distT="114300" distB="11430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t="12" b="12"/>
                    <a:stretch>
                      <a:fillRect/>
                    </a:stretch>
                  </pic:blipFill>
                  <pic:spPr>
                    <a:xfrm>
                      <a:off x="0" y="0"/>
                      <a:ext cx="1366838" cy="2050256"/>
                    </a:xfrm>
                    <a:prstGeom prst="rect">
                      <a:avLst/>
                    </a:prstGeom>
                    <a:ln/>
                  </pic:spPr>
                </pic:pic>
              </a:graphicData>
            </a:graphic>
          </wp:anchor>
        </w:drawing>
      </w:r>
    </w:p>
    <w:p w14:paraId="66E17BA6" w14:textId="77777777" w:rsidR="00A22520" w:rsidRDefault="00000000">
      <w:pPr>
        <w:spacing w:after="160" w:line="256" w:lineRule="auto"/>
        <w:jc w:val="both"/>
        <w:rPr>
          <w:b/>
          <w:sz w:val="32"/>
          <w:szCs w:val="32"/>
        </w:rPr>
      </w:pPr>
      <w:r>
        <w:rPr>
          <w:b/>
          <w:sz w:val="32"/>
          <w:szCs w:val="32"/>
        </w:rPr>
        <w:t>Trp53 Coordinates with Hippo Signaling During Tooth Root Development</w:t>
      </w:r>
    </w:p>
    <w:p w14:paraId="73517D72" w14:textId="77777777" w:rsidR="00A22520" w:rsidRDefault="00000000">
      <w:pPr>
        <w:spacing w:after="160" w:line="256" w:lineRule="auto"/>
        <w:jc w:val="both"/>
        <w:rPr>
          <w:sz w:val="24"/>
          <w:szCs w:val="24"/>
        </w:rPr>
      </w:pPr>
      <w:r>
        <w:rPr>
          <w:sz w:val="24"/>
          <w:szCs w:val="24"/>
        </w:rPr>
        <w:t xml:space="preserve">Tingwei Guo, Fei Pei, </w:t>
      </w:r>
      <w:proofErr w:type="spellStart"/>
      <w:r>
        <w:rPr>
          <w:sz w:val="24"/>
          <w:szCs w:val="24"/>
        </w:rPr>
        <w:t>Mingyi</w:t>
      </w:r>
      <w:proofErr w:type="spellEnd"/>
      <w:r>
        <w:rPr>
          <w:sz w:val="24"/>
          <w:szCs w:val="24"/>
        </w:rPr>
        <w:t xml:space="preserve"> Zhang, </w:t>
      </w:r>
      <w:proofErr w:type="spellStart"/>
      <w:r>
        <w:rPr>
          <w:sz w:val="24"/>
          <w:szCs w:val="24"/>
        </w:rPr>
        <w:t>Jifan</w:t>
      </w:r>
      <w:proofErr w:type="spellEnd"/>
      <w:r>
        <w:rPr>
          <w:sz w:val="24"/>
          <w:szCs w:val="24"/>
        </w:rPr>
        <w:t xml:space="preserve"> Feng, Thach-Vu Ho, and Yang Chai</w:t>
      </w:r>
    </w:p>
    <w:p w14:paraId="18467F12" w14:textId="77777777" w:rsidR="00A22520" w:rsidRDefault="00000000">
      <w:pPr>
        <w:spacing w:after="160" w:line="256" w:lineRule="auto"/>
        <w:jc w:val="both"/>
        <w:rPr>
          <w:i/>
          <w:sz w:val="24"/>
          <w:szCs w:val="24"/>
        </w:rPr>
      </w:pPr>
      <w:r>
        <w:rPr>
          <w:i/>
          <w:sz w:val="24"/>
          <w:szCs w:val="24"/>
        </w:rPr>
        <w:t>Center for Craniofacial Molecular Biology, Ostrow School of Dentistry University of Southern California, Los Angeles, CA 90033, USA</w:t>
      </w:r>
    </w:p>
    <w:p w14:paraId="1FA74666" w14:textId="3D9723A0" w:rsidR="00A22520" w:rsidRPr="00FC3D86" w:rsidRDefault="00000000" w:rsidP="00FC3D86">
      <w:pPr>
        <w:spacing w:line="360" w:lineRule="auto"/>
        <w:jc w:val="both"/>
        <w:rPr>
          <w:sz w:val="24"/>
          <w:szCs w:val="24"/>
        </w:rPr>
      </w:pPr>
      <w:r>
        <w:rPr>
          <w:rFonts w:ascii="Times New Roman" w:eastAsia="Times New Roman" w:hAnsi="Times New Roman" w:cs="Times New Roman"/>
          <w:b/>
          <w:sz w:val="24"/>
          <w:szCs w:val="24"/>
        </w:rPr>
        <w:t xml:space="preserve">Background: </w:t>
      </w:r>
      <w:r>
        <w:rPr>
          <w:rFonts w:ascii="Times New Roman" w:eastAsia="Times New Roman" w:hAnsi="Times New Roman" w:cs="Times New Roman"/>
          <w:sz w:val="24"/>
          <w:szCs w:val="24"/>
        </w:rPr>
        <w:t xml:space="preserve">Cranial neural crest cells (CNCCs) play an essential role in craniofacial development and function. These cells </w:t>
      </w:r>
      <w:proofErr w:type="gramStart"/>
      <w:r>
        <w:rPr>
          <w:rFonts w:ascii="Times New Roman" w:eastAsia="Times New Roman" w:hAnsi="Times New Roman" w:cs="Times New Roman"/>
          <w:sz w:val="24"/>
          <w:szCs w:val="24"/>
        </w:rPr>
        <w:t>have the ability to</w:t>
      </w:r>
      <w:proofErr w:type="gramEnd"/>
      <w:r>
        <w:rPr>
          <w:rFonts w:ascii="Times New Roman" w:eastAsia="Times New Roman" w:hAnsi="Times New Roman" w:cs="Times New Roman"/>
          <w:sz w:val="24"/>
          <w:szCs w:val="24"/>
        </w:rPr>
        <w:t xml:space="preserve"> differentiate into multiple cell types, contributing to diverse craniofacial structures, including bones, cartilage, and connective tissue. Despite their significance, the mechanisms governing the cell fate decisions of post-migratory CNCCs remain largely unknown. Transcription factors play a central role in orchestrating these developmental processes by regulating gene expression programs. P53 is a well-known master regulator, extensively studied in cancer biology for its role in controlling cell growth and apoptosis. However, its role in postnatal development, particularly in craniofacial development, is less understood.</w:t>
      </w:r>
      <w:r>
        <w:rPr>
          <w:rFonts w:ascii="Times New Roman" w:eastAsia="Times New Roman" w:hAnsi="Times New Roman" w:cs="Times New Roman"/>
          <w:b/>
          <w:sz w:val="24"/>
          <w:szCs w:val="24"/>
        </w:rPr>
        <w:t xml:space="preserve"> Methods:</w:t>
      </w:r>
      <w:r>
        <w:rPr>
          <w:rFonts w:ascii="Times New Roman" w:eastAsia="Times New Roman" w:hAnsi="Times New Roman" w:cs="Times New Roman"/>
          <w:sz w:val="24"/>
          <w:szCs w:val="24"/>
        </w:rPr>
        <w:t xml:space="preserve"> The transgenic mouse model used in this study was </w:t>
      </w:r>
      <w:r>
        <w:rPr>
          <w:rFonts w:ascii="Times New Roman" w:eastAsia="Times New Roman" w:hAnsi="Times New Roman" w:cs="Times New Roman"/>
          <w:i/>
          <w:sz w:val="24"/>
          <w:szCs w:val="24"/>
        </w:rPr>
        <w:t>Gli1-</w:t>
      </w:r>
      <w:proofErr w:type="gramStart"/>
      <w:r>
        <w:rPr>
          <w:rFonts w:ascii="Times New Roman" w:eastAsia="Times New Roman" w:hAnsi="Times New Roman" w:cs="Times New Roman"/>
          <w:i/>
          <w:sz w:val="24"/>
          <w:szCs w:val="24"/>
        </w:rPr>
        <w:t>CreER;Trp</w:t>
      </w:r>
      <w:proofErr w:type="gramEnd"/>
      <w:r>
        <w:rPr>
          <w:rFonts w:ascii="Times New Roman" w:eastAsia="Times New Roman" w:hAnsi="Times New Roman" w:cs="Times New Roman"/>
          <w:i/>
          <w:sz w:val="24"/>
          <w:szCs w:val="24"/>
        </w:rPr>
        <w:t>53</w:t>
      </w:r>
      <w:r>
        <w:rPr>
          <w:rFonts w:ascii="Times New Roman" w:eastAsia="Times New Roman" w:hAnsi="Times New Roman" w:cs="Times New Roman"/>
          <w:i/>
          <w:sz w:val="24"/>
          <w:szCs w:val="24"/>
          <w:vertAlign w:val="superscript"/>
        </w:rPr>
        <w:t>fl/fl</w:t>
      </w:r>
      <w:r>
        <w:rPr>
          <w:rFonts w:ascii="Times New Roman" w:eastAsia="Times New Roman" w:hAnsi="Times New Roman" w:cs="Times New Roman"/>
          <w:sz w:val="24"/>
          <w:szCs w:val="24"/>
        </w:rPr>
        <w:t xml:space="preserve">. Techniques used in this study included immunohistochemistry, </w:t>
      </w:r>
      <w:proofErr w:type="spellStart"/>
      <w:r>
        <w:rPr>
          <w:rFonts w:ascii="Times New Roman" w:eastAsia="Times New Roman" w:hAnsi="Times New Roman" w:cs="Times New Roman"/>
          <w:sz w:val="24"/>
          <w:szCs w:val="24"/>
        </w:rPr>
        <w:t>RNAscope</w:t>
      </w:r>
      <w:proofErr w:type="spellEnd"/>
      <w:r>
        <w:rPr>
          <w:rFonts w:ascii="Times New Roman" w:eastAsia="Times New Roman" w:hAnsi="Times New Roman" w:cs="Times New Roman"/>
          <w:sz w:val="24"/>
          <w:szCs w:val="24"/>
        </w:rPr>
        <w:t>, CUT&amp;RUN-seq, bioinformatic analyses, and cell culture.</w:t>
      </w:r>
      <w:r>
        <w:rPr>
          <w:rFonts w:ascii="Times New Roman" w:eastAsia="Times New Roman" w:hAnsi="Times New Roman" w:cs="Times New Roman"/>
          <w:b/>
          <w:sz w:val="24"/>
          <w:szCs w:val="24"/>
        </w:rPr>
        <w:t xml:space="preserve"> Results: </w:t>
      </w:r>
      <w:r>
        <w:rPr>
          <w:rFonts w:ascii="Times New Roman" w:eastAsia="Times New Roman" w:hAnsi="Times New Roman" w:cs="Times New Roman"/>
          <w:sz w:val="24"/>
          <w:szCs w:val="24"/>
        </w:rPr>
        <w:t xml:space="preserve">In this study, we used the mouse molar as a model to investigate the role of P53 signaling in tooth development, revealing that P53 not only regulates key processes in tooth development but also interacts with the transcription factor Arnt to modulate Hippo signaling. This coordination influences the expression of </w:t>
      </w:r>
      <w:r>
        <w:rPr>
          <w:rFonts w:ascii="Times New Roman" w:eastAsia="Times New Roman" w:hAnsi="Times New Roman" w:cs="Times New Roman"/>
          <w:i/>
          <w:sz w:val="24"/>
          <w:szCs w:val="24"/>
        </w:rPr>
        <w:t xml:space="preserve">Gli1 </w:t>
      </w:r>
      <w:r>
        <w:rPr>
          <w:rFonts w:ascii="Times New Roman" w:eastAsia="Times New Roman" w:hAnsi="Times New Roman" w:cs="Times New Roman"/>
          <w:sz w:val="24"/>
          <w:szCs w:val="24"/>
        </w:rPr>
        <w:t xml:space="preserve">during the postnatal development of CNCCs. We demonstrated that the interplay among the P53, Hippo, and hedgehog signaling pathways is essential for regulating tooth root development. These insights provide a deeper understanding of how these pathways converge to regulate postnatal craniofacial development. </w:t>
      </w:r>
      <w:r>
        <w:rPr>
          <w:rFonts w:ascii="Times New Roman" w:eastAsia="Times New Roman" w:hAnsi="Times New Roman" w:cs="Times New Roman"/>
          <w:b/>
          <w:sz w:val="24"/>
          <w:szCs w:val="24"/>
        </w:rPr>
        <w:t>Conclusions:</w:t>
      </w:r>
      <w:r>
        <w:rPr>
          <w:rFonts w:ascii="Times New Roman" w:eastAsia="Times New Roman" w:hAnsi="Times New Roman" w:cs="Times New Roman"/>
          <w:sz w:val="24"/>
          <w:szCs w:val="24"/>
        </w:rPr>
        <w:t xml:space="preserve"> These findings suggest that P53 plays a broader role in developmental biology beyond its established functions in cancer, potentially influencing other aspects of postnatal tissue formation and regeneration. </w:t>
      </w:r>
      <w:r>
        <w:rPr>
          <w:rFonts w:ascii="Times New Roman" w:eastAsia="Times New Roman" w:hAnsi="Times New Roman" w:cs="Times New Roman"/>
          <w:b/>
          <w:sz w:val="24"/>
          <w:szCs w:val="24"/>
        </w:rPr>
        <w:lastRenderedPageBreak/>
        <w:t xml:space="preserve">Acknowledgement of research support: </w:t>
      </w:r>
      <w:r>
        <w:rPr>
          <w:rFonts w:ascii="Times New Roman" w:eastAsia="Times New Roman" w:hAnsi="Times New Roman" w:cs="Times New Roman"/>
          <w:sz w:val="24"/>
          <w:szCs w:val="24"/>
        </w:rPr>
        <w:t>This study was supported by funding from the National Institute of Dental and Craniofacial Research,</w:t>
      </w:r>
      <w:hyperlink r:id="rId7">
        <w:r w:rsidR="00A22520">
          <w:rPr>
            <w:rFonts w:ascii="Times New Roman" w:eastAsia="Times New Roman" w:hAnsi="Times New Roman" w:cs="Times New Roman"/>
            <w:sz w:val="24"/>
            <w:szCs w:val="24"/>
          </w:rPr>
          <w:t xml:space="preserve"> </w:t>
        </w:r>
      </w:hyperlink>
      <w:hyperlink r:id="rId8">
        <w:r w:rsidR="00A22520">
          <w:rPr>
            <w:rFonts w:ascii="Times New Roman" w:eastAsia="Times New Roman" w:hAnsi="Times New Roman" w:cs="Times New Roman"/>
            <w:color w:val="1155CC"/>
            <w:sz w:val="24"/>
            <w:szCs w:val="24"/>
          </w:rPr>
          <w:t>National Institutes of Health</w:t>
        </w:r>
      </w:hyperlink>
      <w:r>
        <w:rPr>
          <w:rFonts w:ascii="Times New Roman" w:eastAsia="Times New Roman" w:hAnsi="Times New Roman" w:cs="Times New Roman"/>
          <w:sz w:val="24"/>
          <w:szCs w:val="24"/>
        </w:rPr>
        <w:t xml:space="preserve"> (R01 DE022503,</w:t>
      </w:r>
      <w:hyperlink r:id="rId9" w:anchor="gs2">
        <w:r w:rsidR="00A22520">
          <w:rPr>
            <w:rFonts w:ascii="Times New Roman" w:eastAsia="Times New Roman" w:hAnsi="Times New Roman" w:cs="Times New Roman"/>
            <w:sz w:val="24"/>
            <w:szCs w:val="24"/>
          </w:rPr>
          <w:t xml:space="preserve"> </w:t>
        </w:r>
      </w:hyperlink>
      <w:hyperlink r:id="rId10" w:anchor="gs2">
        <w:r w:rsidR="00A22520">
          <w:rPr>
            <w:rFonts w:ascii="Times New Roman" w:eastAsia="Times New Roman" w:hAnsi="Times New Roman" w:cs="Times New Roman"/>
            <w:color w:val="1155CC"/>
            <w:sz w:val="24"/>
            <w:szCs w:val="24"/>
          </w:rPr>
          <w:t>R01 DE012711</w:t>
        </w:r>
      </w:hyperlink>
      <w:r>
        <w:rPr>
          <w:rFonts w:ascii="Times New Roman" w:eastAsia="Times New Roman" w:hAnsi="Times New Roman" w:cs="Times New Roman"/>
          <w:sz w:val="24"/>
          <w:szCs w:val="24"/>
        </w:rPr>
        <w:t xml:space="preserve"> and U24 DE034163 to Yang Chai).</w:t>
      </w:r>
    </w:p>
    <w:p w14:paraId="6F4470F9" w14:textId="77777777" w:rsidR="00A22520" w:rsidRDefault="00A22520">
      <w:pPr>
        <w:spacing w:after="160" w:line="256" w:lineRule="auto"/>
        <w:jc w:val="both"/>
      </w:pPr>
    </w:p>
    <w:sectPr w:rsidR="00A22520">
      <w:headerReference w:type="even" r:id="rId11"/>
      <w:headerReference w:type="default" r:id="rId12"/>
      <w:footerReference w:type="even" r:id="rId13"/>
      <w:footerReference w:type="default" r:id="rId14"/>
      <w:headerReference w:type="first" r:id="rId15"/>
      <w:footerReference w:type="first" r:id="rId16"/>
      <w:pgSz w:w="12240" w:h="15840"/>
      <w:pgMar w:top="165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3969" w14:textId="77777777" w:rsidR="007C108F" w:rsidRDefault="007C108F">
      <w:pPr>
        <w:spacing w:line="240" w:lineRule="auto"/>
      </w:pPr>
      <w:r>
        <w:separator/>
      </w:r>
    </w:p>
  </w:endnote>
  <w:endnote w:type="continuationSeparator" w:id="0">
    <w:p w14:paraId="66E0FCE8" w14:textId="77777777" w:rsidR="007C108F" w:rsidRDefault="007C1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4210" w14:textId="77777777" w:rsidR="00E33989" w:rsidRDefault="00E33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7677" w14:textId="228EC98E" w:rsidR="00A22520" w:rsidRDefault="00000000">
    <w:pPr>
      <w:jc w:val="right"/>
    </w:pPr>
    <w:r>
      <w:fldChar w:fldCharType="begin"/>
    </w:r>
    <w:r>
      <w:instrText>PAGE</w:instrText>
    </w:r>
    <w:r>
      <w:fldChar w:fldCharType="separate"/>
    </w:r>
    <w:r w:rsidR="00E339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A38E" w14:textId="77777777" w:rsidR="00A22520" w:rsidRDefault="00A225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7A1A" w14:textId="77777777" w:rsidR="007C108F" w:rsidRDefault="007C108F">
      <w:pPr>
        <w:spacing w:line="240" w:lineRule="auto"/>
      </w:pPr>
      <w:r>
        <w:separator/>
      </w:r>
    </w:p>
  </w:footnote>
  <w:footnote w:type="continuationSeparator" w:id="0">
    <w:p w14:paraId="33DEA18F" w14:textId="77777777" w:rsidR="007C108F" w:rsidRDefault="007C1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A535" w14:textId="77777777" w:rsidR="00E33989" w:rsidRDefault="00E33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D167" w14:textId="77777777" w:rsidR="00A22520" w:rsidRDefault="00A225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3362" w14:textId="77777777" w:rsidR="00A22520" w:rsidRDefault="00000000">
    <w:pPr>
      <w:jc w:val="center"/>
      <w:rPr>
        <w:i/>
        <w:sz w:val="28"/>
        <w:szCs w:val="28"/>
      </w:rPr>
    </w:pPr>
    <w:r>
      <w:rPr>
        <w:noProof/>
      </w:rPr>
      <w:drawing>
        <wp:inline distT="114300" distB="114300" distL="114300" distR="114300" wp14:anchorId="3D7B51D6" wp14:editId="3EFF5E80">
          <wp:extent cx="2147888" cy="58836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7888" cy="588365"/>
                  </a:xfrm>
                  <a:prstGeom prst="rect">
                    <a:avLst/>
                  </a:prstGeom>
                  <a:ln/>
                </pic:spPr>
              </pic:pic>
            </a:graphicData>
          </a:graphic>
        </wp:inline>
      </w:drawing>
    </w:r>
  </w:p>
  <w:p w14:paraId="440709B2" w14:textId="77777777" w:rsidR="00A22520" w:rsidRDefault="00A22520">
    <w:pPr>
      <w:rPr>
        <w:i/>
        <w:sz w:val="28"/>
        <w:szCs w:val="28"/>
      </w:rPr>
    </w:pPr>
  </w:p>
  <w:p w14:paraId="5D0BDC5C" w14:textId="4E9483BB" w:rsidR="00A22520" w:rsidRDefault="00E33989">
    <w:pPr>
      <w:jc w:val="center"/>
      <w:rPr>
        <w:i/>
        <w:sz w:val="28"/>
        <w:szCs w:val="28"/>
      </w:rPr>
    </w:pPr>
    <w:r>
      <w:rPr>
        <w:i/>
        <w:sz w:val="28"/>
        <w:szCs w:val="28"/>
      </w:rPr>
      <w:t xml:space="preserve">Poster Session - 2025 </w:t>
    </w:r>
    <w:proofErr w:type="spellStart"/>
    <w:r>
      <w:rPr>
        <w:i/>
        <w:sz w:val="28"/>
        <w:szCs w:val="28"/>
      </w:rPr>
      <w:t>FaceBase</w:t>
    </w:r>
    <w:proofErr w:type="spellEnd"/>
    <w:r>
      <w:rPr>
        <w:i/>
        <w:sz w:val="28"/>
        <w:szCs w:val="28"/>
      </w:rPr>
      <w:t xml:space="preserve"> Community Forum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20"/>
    <w:rsid w:val="0051296D"/>
    <w:rsid w:val="007B1376"/>
    <w:rsid w:val="007C108F"/>
    <w:rsid w:val="00A22520"/>
    <w:rsid w:val="00E33989"/>
    <w:rsid w:val="00EC6A7B"/>
    <w:rsid w:val="00FC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097F"/>
  <w15:docId w15:val="{F9761E62-8465-D846-94DF-995B0B9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3989"/>
    <w:pPr>
      <w:tabs>
        <w:tab w:val="center" w:pos="4680"/>
        <w:tab w:val="right" w:pos="9360"/>
      </w:tabs>
      <w:spacing w:line="240" w:lineRule="auto"/>
    </w:pPr>
  </w:style>
  <w:style w:type="character" w:customStyle="1" w:styleId="HeaderChar">
    <w:name w:val="Header Char"/>
    <w:basedOn w:val="DefaultParagraphFont"/>
    <w:link w:val="Header"/>
    <w:uiPriority w:val="99"/>
    <w:rsid w:val="00E33989"/>
  </w:style>
  <w:style w:type="paragraph" w:styleId="Footer">
    <w:name w:val="footer"/>
    <w:basedOn w:val="Normal"/>
    <w:link w:val="FooterChar"/>
    <w:uiPriority w:val="99"/>
    <w:unhideWhenUsed/>
    <w:rsid w:val="00E33989"/>
    <w:pPr>
      <w:tabs>
        <w:tab w:val="center" w:pos="4680"/>
        <w:tab w:val="right" w:pos="9360"/>
      </w:tabs>
      <w:spacing w:line="240" w:lineRule="auto"/>
    </w:pPr>
  </w:style>
  <w:style w:type="character" w:customStyle="1" w:styleId="FooterChar">
    <w:name w:val="Footer Char"/>
    <w:basedOn w:val="DefaultParagraphFont"/>
    <w:link w:val="Footer"/>
    <w:uiPriority w:val="99"/>
    <w:rsid w:val="00E3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national-institutes-of-heal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direct.com/topics/agricultural-and-biological-sciences/national-institutes-of-healt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sciencedirect.com/science/article/pii/S2211124721002783?via%3Dihub" TargetMode="External"/><Relationship Id="rId4" Type="http://schemas.openxmlformats.org/officeDocument/2006/relationships/footnotes" Target="footnotes.xml"/><Relationship Id="rId9" Type="http://schemas.openxmlformats.org/officeDocument/2006/relationships/hyperlink" Target="https://www.sciencedirect.com/science/article/pii/S2211124721002783?via%3Dihub"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Williams</cp:lastModifiedBy>
  <cp:revision>3</cp:revision>
  <dcterms:created xsi:type="dcterms:W3CDTF">2025-06-30T19:44:00Z</dcterms:created>
  <dcterms:modified xsi:type="dcterms:W3CDTF">2025-06-30T19:45:00Z</dcterms:modified>
</cp:coreProperties>
</file>